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Dategrp-8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Бордунов М.Б.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308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ст. 20.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Ахмадулина Алика </w:t>
      </w:r>
      <w:r>
        <w:rPr>
          <w:rFonts w:ascii="Times New Roman" w:eastAsia="Times New Roman" w:hAnsi="Times New Roman" w:cs="Times New Roman"/>
          <w:sz w:val="28"/>
          <w:szCs w:val="28"/>
        </w:rPr>
        <w:t>Радиковича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1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9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4rplc-1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3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было установлено,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Ахмадулин А.Р. </w:t>
      </w:r>
      <w:r>
        <w:rPr>
          <w:rFonts w:ascii="Times New Roman" w:eastAsia="Times New Roman" w:hAnsi="Times New Roman" w:cs="Times New Roman"/>
          <w:sz w:val="27"/>
          <w:szCs w:val="27"/>
        </w:rPr>
        <w:t>нарушил требование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22 ФЗ-150 «Об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оружии» от </w:t>
      </w:r>
      <w:r>
        <w:rPr>
          <w:rStyle w:val="cat-Dategrp-10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незаконно перевозил патрон калибра 9 мм </w:t>
      </w:r>
      <w:r>
        <w:rPr>
          <w:rFonts w:ascii="Times New Roman" w:eastAsia="Times New Roman" w:hAnsi="Times New Roman" w:cs="Times New Roman"/>
          <w:sz w:val="27"/>
          <w:szCs w:val="27"/>
        </w:rPr>
        <w:t>ПМ, являющегося патроном к нарезному оружию под патрон калибра 9мм ПМ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справк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исследовании № 42 от </w:t>
      </w:r>
      <w:r>
        <w:rPr>
          <w:rStyle w:val="cat-Dategrp-9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не имя разрешения.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Ахмадулин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не участвовал, извещен надлежащим образом, просил рассмотреть дело в свое отсутствие, других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Ахмадулин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Dategrp-11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рапортами сотрудников полиции, в которых изложены обстоятельства административного правонарушения;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акта передачи физических лиц, нарушивших требования в области транспортной безопасности;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фото-таблицей;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справкой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исследовании № </w:t>
      </w:r>
      <w:r>
        <w:rPr>
          <w:rFonts w:ascii="Times New Roman" w:eastAsia="Times New Roman" w:hAnsi="Times New Roman" w:cs="Times New Roman"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Ахмадулина А.Р.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о передаче в оружейную комнату на ответственное хранение; копия корешка квитанции № 74 на принятое оружие и боеприпасы; копией постановления об отказе в возбуждении уголовного дела; </w:t>
      </w:r>
      <w:r>
        <w:rPr>
          <w:rFonts w:ascii="Times New Roman" w:eastAsia="Times New Roman" w:hAnsi="Times New Roman" w:cs="Times New Roman"/>
          <w:sz w:val="27"/>
          <w:szCs w:val="27"/>
        </w:rPr>
        <w:t>и другими материалами.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Ахмадулина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13 ФЗ-150 «Об оружии» от </w:t>
      </w:r>
      <w:r>
        <w:rPr>
          <w:rStyle w:val="cat-Dategrp-10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хранение гражданского и служебного оружия и патронов к нему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 Хранение гражданского и служебного ору</w:t>
      </w:r>
      <w:r>
        <w:rPr>
          <w:rFonts w:ascii="Times New Roman" w:eastAsia="Times New Roman" w:hAnsi="Times New Roman" w:cs="Times New Roman"/>
          <w:sz w:val="27"/>
          <w:szCs w:val="27"/>
        </w:rPr>
        <w:t>жия и патронов к нему осуществляется гражданами Российской Федерации,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ст. 25 ФЗ-150 «Об оружии» от </w:t>
      </w:r>
      <w:r>
        <w:rPr>
          <w:rStyle w:val="cat-Dategrp-10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4" w:anchor="/document/12112448/entry/1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Правила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учета, ношения, перевозки, транспортирования и уничтожения оружия определяются Правительством Российской Федерации. Сведения о владельцах оружия, об оружии и патронах, контроль за оборотом которых в соответствии с настоящим Федеральным законом осуществляется федеральным органом исполнительной власти, уполномоченным в сфере оборота оружия, учитываются в государственной информационной системе, оператором которой является федеральный орган исполнительной власти, уполномоченный в сфере оборота оружия.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54 Постановления Правительства РФ от </w:t>
      </w:r>
      <w:r>
        <w:rPr>
          <w:rStyle w:val="cat-Dategrp-12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814 «О мерах регулирования гражданского и служебного оружия и патронов к нему на </w:t>
      </w:r>
      <w:r>
        <w:rPr>
          <w:rStyle w:val="cat-Addressgrp-4rplc-2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хранение оружия и патронов разрешается юридическим и физическим лицам, </w:t>
      </w:r>
      <w:hyperlink r:id="rId4" w:anchor="/multilink/12112448/paragraph/187011/number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получившим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в Федеральной службе войск национальной гвардии Российской Федерации или ее территориальных органах </w:t>
      </w:r>
      <w:hyperlink r:id="rId4" w:anchor="/multilink/12112448/paragraph/187011/number/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разрешения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 хранение, или хранение и использование, или хранение и ношение оружия.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Ахмадулина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имеется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 20.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незаконная перевозка патронов к оружию, если эти действия не содержат </w:t>
      </w:r>
      <w:hyperlink r:id="rId4" w:anchor="/document/10108000/entry/2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Ахмадулина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статьей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 совершенного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Ахмадулина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содеянному,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</w:t>
      </w:r>
      <w:r>
        <w:rPr>
          <w:rFonts w:ascii="Times New Roman" w:eastAsia="Times New Roman" w:hAnsi="Times New Roman" w:cs="Times New Roman"/>
          <w:sz w:val="27"/>
          <w:szCs w:val="27"/>
        </w:rPr>
        <w:t>полагает возможным назначи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ему административное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>в виде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конфискаци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ей </w:t>
      </w:r>
      <w:r>
        <w:rPr>
          <w:rFonts w:ascii="Times New Roman" w:eastAsia="Times New Roman" w:hAnsi="Times New Roman" w:cs="Times New Roman"/>
          <w:sz w:val="27"/>
          <w:szCs w:val="27"/>
        </w:rPr>
        <w:t>предмет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Ахмадулина Алика </w:t>
      </w:r>
      <w:r>
        <w:rPr>
          <w:rFonts w:ascii="Times New Roman" w:eastAsia="Times New Roman" w:hAnsi="Times New Roman" w:cs="Times New Roman"/>
          <w:sz w:val="28"/>
          <w:szCs w:val="28"/>
        </w:rPr>
        <w:t>Радиковича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 20.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20rplc-3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конфискаци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предмета административного правонарушения, указанного в протоколе осмотра места происшествия от </w:t>
      </w:r>
      <w:r>
        <w:rPr>
          <w:rStyle w:val="cat-Dategrp-9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мировую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Style w:val="cat-Addressgrp-1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 судьи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37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5-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162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Т.И. Слесарева</w:t>
      </w:r>
    </w:p>
    <w:p>
      <w:pPr>
        <w:spacing w:before="0" w:after="0"/>
        <w:ind w:firstLine="142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720 </w:t>
      </w:r>
      <w:r>
        <w:rPr>
          <w:rFonts w:ascii="Times New Roman" w:eastAsia="Times New Roman" w:hAnsi="Times New Roman" w:cs="Times New Roman"/>
          <w:sz w:val="16"/>
          <w:szCs w:val="16"/>
        </w:rPr>
        <w:t>11601</w:t>
      </w:r>
      <w:r>
        <w:rPr>
          <w:rFonts w:ascii="Times New Roman" w:eastAsia="Times New Roman" w:hAnsi="Times New Roman" w:cs="Times New Roman"/>
          <w:sz w:val="16"/>
          <w:szCs w:val="16"/>
        </w:rPr>
        <w:t>2030100</w:t>
      </w:r>
      <w:r>
        <w:rPr>
          <w:rFonts w:ascii="Times New Roman" w:eastAsia="Times New Roman" w:hAnsi="Times New Roman" w:cs="Times New Roman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z w:val="16"/>
          <w:szCs w:val="16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0412365400665001622420128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7rplc-45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6rplc-46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7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SumInWordsgrp-21rplc-47">
    <w:name w:val="cat-SumInWords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